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E12A2" w:rsidRPr="00775EB7" w:rsidRDefault="009E12A2" w:rsidP="009E12A2">
      <w:pPr>
        <w:jc w:val="center"/>
        <w:rPr>
          <w:rFonts w:ascii="Garamond" w:hAnsi="Garamond"/>
          <w:b/>
          <w:sz w:val="22"/>
          <w:szCs w:val="22"/>
        </w:rPr>
      </w:pPr>
      <w:r w:rsidRPr="00775EB7">
        <w:rPr>
          <w:rFonts w:ascii="Garamond" w:hAnsi="Garamond"/>
          <w:b/>
          <w:sz w:val="22"/>
          <w:szCs w:val="22"/>
        </w:rPr>
        <w:t>Tantárgyi program</w:t>
      </w:r>
    </w:p>
    <w:p w:rsidR="009E12A2" w:rsidRPr="00775EB7" w:rsidRDefault="009E12A2" w:rsidP="009E12A2">
      <w:pPr>
        <w:rPr>
          <w:rFonts w:ascii="Garamond" w:hAnsi="Garamond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55"/>
        <w:gridCol w:w="4901"/>
      </w:tblGrid>
      <w:tr w:rsidR="009E12A2" w:rsidRPr="00775EB7" w:rsidTr="00DE5211">
        <w:tc>
          <w:tcPr>
            <w:tcW w:w="4219" w:type="dxa"/>
            <w:vMerge w:val="restart"/>
          </w:tcPr>
          <w:p w:rsidR="009E12A2" w:rsidRPr="00775EB7" w:rsidRDefault="009E12A2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Tantárgy neve: </w:t>
            </w:r>
            <w:r w:rsidRPr="00775EB7">
              <w:rPr>
                <w:rFonts w:ascii="Garamond" w:hAnsi="Garamond"/>
                <w:b/>
                <w:sz w:val="22"/>
                <w:szCs w:val="22"/>
              </w:rPr>
              <w:t>Az emberi jogok védelmének nemzetközi intézményei szakszeminárium</w:t>
            </w:r>
          </w:p>
        </w:tc>
        <w:tc>
          <w:tcPr>
            <w:tcW w:w="4993" w:type="dxa"/>
          </w:tcPr>
          <w:p w:rsidR="009E12A2" w:rsidRPr="00775EB7" w:rsidRDefault="009E12A2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Neptun kódja: DFDIÁJ220N3, DFDIÁJ220L3</w:t>
            </w:r>
          </w:p>
        </w:tc>
      </w:tr>
      <w:tr w:rsidR="009E12A2" w:rsidRPr="00775EB7" w:rsidTr="00DE5211">
        <w:tc>
          <w:tcPr>
            <w:tcW w:w="4219" w:type="dxa"/>
            <w:vMerge/>
          </w:tcPr>
          <w:p w:rsidR="009E12A2" w:rsidRPr="00775EB7" w:rsidRDefault="009E12A2" w:rsidP="00DE5211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4993" w:type="dxa"/>
          </w:tcPr>
          <w:p w:rsidR="009E12A2" w:rsidRPr="00775EB7" w:rsidRDefault="009E12A2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Tantárgy jellege: kötelezően választandó</w:t>
            </w:r>
          </w:p>
        </w:tc>
      </w:tr>
      <w:tr w:rsidR="009E12A2" w:rsidRPr="00775EB7" w:rsidTr="00DE5211">
        <w:tc>
          <w:tcPr>
            <w:tcW w:w="9212" w:type="dxa"/>
            <w:gridSpan w:val="2"/>
          </w:tcPr>
          <w:p w:rsidR="009E12A2" w:rsidRPr="00775EB7" w:rsidRDefault="009E12A2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Tantárgyfelelős neve, beosztása: Dr. Raisz Anikó egyetemi docens</w:t>
            </w:r>
          </w:p>
        </w:tc>
      </w:tr>
      <w:tr w:rsidR="009E12A2" w:rsidRPr="00775EB7" w:rsidTr="00DE5211">
        <w:tc>
          <w:tcPr>
            <w:tcW w:w="9212" w:type="dxa"/>
            <w:gridSpan w:val="2"/>
          </w:tcPr>
          <w:p w:rsidR="009E12A2" w:rsidRPr="00775EB7" w:rsidRDefault="009E12A2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Oktatásba bevont oktatók neve, beosztása:</w:t>
            </w:r>
          </w:p>
        </w:tc>
      </w:tr>
      <w:tr w:rsidR="009E12A2" w:rsidRPr="00775EB7" w:rsidTr="00DE5211">
        <w:tc>
          <w:tcPr>
            <w:tcW w:w="4219" w:type="dxa"/>
          </w:tcPr>
          <w:p w:rsidR="009E12A2" w:rsidRPr="00775EB7" w:rsidRDefault="009E12A2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Félév: </w:t>
            </w:r>
            <w:r w:rsidRPr="00775EB7">
              <w:rPr>
                <w:rFonts w:ascii="Garamond" w:hAnsi="Garamond"/>
                <w:sz w:val="22"/>
                <w:szCs w:val="22"/>
                <w:u w:val="single"/>
              </w:rPr>
              <w:t>páratlan</w:t>
            </w:r>
            <w:r w:rsidRPr="00775EB7">
              <w:rPr>
                <w:rFonts w:ascii="Garamond" w:hAnsi="Garamond"/>
                <w:sz w:val="22"/>
                <w:szCs w:val="22"/>
              </w:rPr>
              <w:t>/páros</w:t>
            </w:r>
          </w:p>
        </w:tc>
        <w:tc>
          <w:tcPr>
            <w:tcW w:w="4993" w:type="dxa"/>
          </w:tcPr>
          <w:p w:rsidR="009E12A2" w:rsidRPr="00775EB7" w:rsidRDefault="009E12A2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Óraszám/félév: 15</w:t>
            </w:r>
          </w:p>
        </w:tc>
      </w:tr>
      <w:tr w:rsidR="009E12A2" w:rsidRPr="00775EB7" w:rsidTr="00DE5211">
        <w:tc>
          <w:tcPr>
            <w:tcW w:w="4219" w:type="dxa"/>
          </w:tcPr>
          <w:p w:rsidR="009E12A2" w:rsidRPr="00775EB7" w:rsidRDefault="009E12A2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Kreditérték: 3</w:t>
            </w:r>
          </w:p>
        </w:tc>
        <w:tc>
          <w:tcPr>
            <w:tcW w:w="4993" w:type="dxa"/>
          </w:tcPr>
          <w:p w:rsidR="009E12A2" w:rsidRPr="00775EB7" w:rsidRDefault="009E12A2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Számonkérés: kollokvium</w:t>
            </w:r>
          </w:p>
        </w:tc>
      </w:tr>
      <w:tr w:rsidR="009E12A2" w:rsidRPr="00775EB7" w:rsidTr="00DE5211">
        <w:tc>
          <w:tcPr>
            <w:tcW w:w="9212" w:type="dxa"/>
            <w:gridSpan w:val="2"/>
          </w:tcPr>
          <w:p w:rsidR="009E12A2" w:rsidRPr="00775EB7" w:rsidRDefault="009E12A2" w:rsidP="00DE5211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Tantárgy feladata, célja:</w:t>
            </w:r>
          </w:p>
          <w:p w:rsidR="009E12A2" w:rsidRPr="00775EB7" w:rsidRDefault="009E12A2" w:rsidP="00DE5211">
            <w:pPr>
              <w:rPr>
                <w:rFonts w:ascii="Garamond" w:hAnsi="Garamond"/>
                <w:b/>
                <w:sz w:val="22"/>
                <w:szCs w:val="22"/>
              </w:rPr>
            </w:pPr>
          </w:p>
          <w:p w:rsidR="009E12A2" w:rsidRPr="00775EB7" w:rsidRDefault="009E12A2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A tantárgy oktatásának célja, hogy alapos ismertekre tegyenek szert a hallgatók az emberi jogok védelmének nemzetközi norma- és intézményrendszeréről. A tárgy mind az univerzális, mind a regionális szintű emberi jogvédelmi mechanizmusokkal foglalkozik, különös tekintettel az Emberi Jogok Európai Bíróságának joggyakorlatára.</w:t>
            </w:r>
          </w:p>
          <w:p w:rsidR="009E12A2" w:rsidRPr="00775EB7" w:rsidRDefault="009E12A2" w:rsidP="00DE5211">
            <w:pPr>
              <w:rPr>
                <w:rFonts w:ascii="Garamond" w:hAnsi="Garamond"/>
                <w:sz w:val="22"/>
                <w:szCs w:val="22"/>
              </w:rPr>
            </w:pPr>
          </w:p>
        </w:tc>
      </w:tr>
      <w:tr w:rsidR="009E12A2" w:rsidRPr="00775EB7" w:rsidTr="00DE5211">
        <w:tc>
          <w:tcPr>
            <w:tcW w:w="9212" w:type="dxa"/>
            <w:gridSpan w:val="2"/>
          </w:tcPr>
          <w:p w:rsidR="009E12A2" w:rsidRPr="00775EB7" w:rsidRDefault="009E12A2" w:rsidP="00DE5211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Tantárgyi tematika (heti bontásban):</w:t>
            </w:r>
          </w:p>
          <w:p w:rsidR="009E12A2" w:rsidRPr="00775EB7" w:rsidRDefault="009E12A2" w:rsidP="00DE5211">
            <w:pPr>
              <w:rPr>
                <w:rFonts w:ascii="Garamond" w:hAnsi="Garamond"/>
                <w:b/>
                <w:sz w:val="22"/>
                <w:szCs w:val="22"/>
              </w:rPr>
            </w:pPr>
          </w:p>
          <w:p w:rsidR="009E12A2" w:rsidRPr="00775EB7" w:rsidRDefault="009E12A2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1. Az emberi jogok koncepciója, az állami felelősség</w:t>
            </w:r>
          </w:p>
          <w:p w:rsidR="009E12A2" w:rsidRPr="00775EB7" w:rsidRDefault="009E12A2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2. Emberi jogok védelme az ENSZ-ben I.: az emberi jogok védelmével megbízott szervek</w:t>
            </w:r>
          </w:p>
          <w:p w:rsidR="009E12A2" w:rsidRPr="00775EB7" w:rsidRDefault="009E12A2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3. Emberi jogok védelme az ENSZ-ben II.: kontrollmechanizmusok, a panaszeljárás hatékonysága</w:t>
            </w:r>
          </w:p>
          <w:p w:rsidR="009E12A2" w:rsidRPr="00775EB7" w:rsidRDefault="009E12A2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4. Regionális emberi jogvédelmi mechanizmusok</w:t>
            </w:r>
          </w:p>
          <w:p w:rsidR="009E12A2" w:rsidRPr="00775EB7" w:rsidRDefault="009E12A2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5. Az emberi jogok védelme és az Európa Tanács </w:t>
            </w:r>
          </w:p>
          <w:p w:rsidR="009E12A2" w:rsidRPr="00775EB7" w:rsidRDefault="009E12A2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6. Élethez való jog</w:t>
            </w:r>
          </w:p>
          <w:p w:rsidR="009E12A2" w:rsidRPr="00775EB7" w:rsidRDefault="009E12A2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7. Kínzás és embertelen bánásmód tilalma</w:t>
            </w:r>
          </w:p>
          <w:p w:rsidR="009E12A2" w:rsidRPr="00775EB7" w:rsidRDefault="009E12A2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8. Szabadsághoz és biztonsághoz való jog</w:t>
            </w:r>
          </w:p>
          <w:p w:rsidR="009E12A2" w:rsidRPr="00775EB7" w:rsidRDefault="009E12A2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9. Tisztességes tárgyaláshoz való jog</w:t>
            </w:r>
          </w:p>
          <w:p w:rsidR="009E12A2" w:rsidRPr="00775EB7" w:rsidRDefault="009E12A2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10. Gondolat-, lelkiismeret és vallásszabadság</w:t>
            </w:r>
          </w:p>
          <w:p w:rsidR="009E12A2" w:rsidRPr="00775EB7" w:rsidRDefault="009E12A2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11. Véleménynyilvánítás szabadsága</w:t>
            </w:r>
          </w:p>
          <w:p w:rsidR="009E12A2" w:rsidRPr="00775EB7" w:rsidRDefault="009E12A2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12. Gyülekezés és egyesülés szabadsága</w:t>
            </w:r>
          </w:p>
          <w:p w:rsidR="009E12A2" w:rsidRPr="00775EB7" w:rsidRDefault="009E12A2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13. Hatékony jogorvoslathoz való jog</w:t>
            </w:r>
          </w:p>
          <w:p w:rsidR="009E12A2" w:rsidRPr="00775EB7" w:rsidRDefault="009E12A2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14. A hátrányos megkülönböztetés tilalma</w:t>
            </w:r>
          </w:p>
          <w:p w:rsidR="009E12A2" w:rsidRPr="00775EB7" w:rsidRDefault="009E12A2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15. Összegzés </w:t>
            </w:r>
          </w:p>
          <w:p w:rsidR="009E12A2" w:rsidRPr="00775EB7" w:rsidRDefault="009E12A2" w:rsidP="00DE5211">
            <w:pPr>
              <w:rPr>
                <w:rFonts w:ascii="Garamond" w:hAnsi="Garamond"/>
                <w:sz w:val="22"/>
                <w:szCs w:val="22"/>
              </w:rPr>
            </w:pPr>
          </w:p>
        </w:tc>
      </w:tr>
      <w:tr w:rsidR="009E12A2" w:rsidRPr="00775EB7" w:rsidTr="00DE5211">
        <w:tc>
          <w:tcPr>
            <w:tcW w:w="9212" w:type="dxa"/>
            <w:gridSpan w:val="2"/>
          </w:tcPr>
          <w:p w:rsidR="009E12A2" w:rsidRPr="00775EB7" w:rsidRDefault="009E12A2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Számonkérés módja</w:t>
            </w:r>
            <w:r w:rsidRPr="00775EB7">
              <w:rPr>
                <w:rFonts w:ascii="Garamond" w:hAnsi="Garamond"/>
                <w:sz w:val="22"/>
                <w:szCs w:val="22"/>
              </w:rPr>
              <w:t>: írásbeli</w:t>
            </w:r>
          </w:p>
          <w:p w:rsidR="009E12A2" w:rsidRPr="00775EB7" w:rsidRDefault="009E12A2" w:rsidP="00DE5211">
            <w:pPr>
              <w:rPr>
                <w:rFonts w:ascii="Garamond" w:hAnsi="Garamond"/>
                <w:sz w:val="22"/>
                <w:szCs w:val="22"/>
              </w:rPr>
            </w:pPr>
          </w:p>
        </w:tc>
      </w:tr>
      <w:tr w:rsidR="009E12A2" w:rsidRPr="00775EB7" w:rsidTr="00DE5211">
        <w:tc>
          <w:tcPr>
            <w:tcW w:w="9212" w:type="dxa"/>
            <w:gridSpan w:val="2"/>
          </w:tcPr>
          <w:p w:rsidR="009E12A2" w:rsidRPr="00775EB7" w:rsidRDefault="009E12A2" w:rsidP="00DE5211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Kötelező irodalom:</w:t>
            </w:r>
          </w:p>
          <w:p w:rsidR="009E12A2" w:rsidRPr="00775EB7" w:rsidRDefault="009E12A2" w:rsidP="00DE5211">
            <w:pPr>
              <w:rPr>
                <w:rFonts w:ascii="Garamond" w:hAnsi="Garamond"/>
                <w:b/>
                <w:sz w:val="22"/>
                <w:szCs w:val="22"/>
              </w:rPr>
            </w:pPr>
          </w:p>
          <w:p w:rsidR="009E12A2" w:rsidRPr="00775EB7" w:rsidRDefault="009E12A2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magyar nyelvű</w:t>
            </w:r>
          </w:p>
          <w:p w:rsidR="009E12A2" w:rsidRPr="00775EB7" w:rsidRDefault="009E12A2" w:rsidP="009E12A2">
            <w:pPr>
              <w:numPr>
                <w:ilvl w:val="0"/>
                <w:numId w:val="1"/>
              </w:numPr>
              <w:shd w:val="clear" w:color="auto" w:fill="FFFFFF"/>
              <w:ind w:left="284" w:firstLine="0"/>
              <w:rPr>
                <w:rFonts w:ascii="Garamond" w:eastAsia="Times New Roman" w:hAnsi="Garamond"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sz w:val="22"/>
                <w:szCs w:val="22"/>
              </w:rPr>
              <w:t>Grád, András: A strasbourgi emberi jogi bíráskodás kézikönyve. Strasbourg Bt., Budapest, 2005.</w:t>
            </w:r>
          </w:p>
          <w:p w:rsidR="009E12A2" w:rsidRPr="00775EB7" w:rsidRDefault="009E12A2" w:rsidP="00DE5211">
            <w:pPr>
              <w:shd w:val="clear" w:color="auto" w:fill="FFFFFF"/>
              <w:rPr>
                <w:rFonts w:ascii="Garamond" w:eastAsia="Times New Roman" w:hAnsi="Garamond"/>
                <w:sz w:val="22"/>
                <w:szCs w:val="22"/>
              </w:rPr>
            </w:pPr>
          </w:p>
          <w:p w:rsidR="009E12A2" w:rsidRPr="00775EB7" w:rsidRDefault="009E12A2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idegen nyelvű</w:t>
            </w:r>
          </w:p>
          <w:p w:rsidR="009E12A2" w:rsidRPr="00775EB7" w:rsidRDefault="009E12A2" w:rsidP="00DE5211">
            <w:pPr>
              <w:shd w:val="clear" w:color="auto" w:fill="FFFFFF"/>
              <w:ind w:left="284"/>
              <w:rPr>
                <w:rFonts w:ascii="Garamond" w:eastAsia="Times New Roman" w:hAnsi="Garamond"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sz w:val="22"/>
                <w:szCs w:val="22"/>
              </w:rPr>
              <w:t xml:space="preserve">1. </w:t>
            </w:r>
            <w:proofErr w:type="gramStart"/>
            <w:r w:rsidRPr="00775EB7">
              <w:rPr>
                <w:rFonts w:ascii="Garamond" w:eastAsia="Times New Roman" w:hAnsi="Garamond"/>
                <w:sz w:val="22"/>
                <w:szCs w:val="22"/>
              </w:rPr>
              <w:t>Harris ,</w:t>
            </w:r>
            <w:proofErr w:type="gramEnd"/>
            <w:r w:rsidRPr="00775EB7">
              <w:rPr>
                <w:rFonts w:ascii="Garamond" w:eastAsia="Times New Roman" w:hAnsi="Garamond"/>
                <w:sz w:val="22"/>
                <w:szCs w:val="22"/>
              </w:rPr>
              <w:t xml:space="preserve"> O'Boyle, Warbrick, Law of the European Convention on Human Rights, Oxford University Press, 2009</w:t>
            </w:r>
          </w:p>
          <w:p w:rsidR="009E12A2" w:rsidRPr="00775EB7" w:rsidRDefault="009E12A2" w:rsidP="00DE5211">
            <w:pPr>
              <w:shd w:val="clear" w:color="auto" w:fill="FFFFFF"/>
              <w:ind w:left="284"/>
              <w:rPr>
                <w:rFonts w:ascii="Garamond" w:eastAsia="Times New Roman" w:hAnsi="Garamond"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sz w:val="22"/>
                <w:szCs w:val="22"/>
              </w:rPr>
              <w:t>2. Tomuschat, Christian: Human Rights. Between Idealism and Realism. Oxford University Press, New York, 2003.</w:t>
            </w:r>
          </w:p>
          <w:p w:rsidR="009E12A2" w:rsidRPr="00775EB7" w:rsidRDefault="009E12A2" w:rsidP="00DE5211">
            <w:pPr>
              <w:rPr>
                <w:rFonts w:ascii="Garamond" w:hAnsi="Garamond"/>
                <w:sz w:val="22"/>
                <w:szCs w:val="22"/>
              </w:rPr>
            </w:pPr>
          </w:p>
        </w:tc>
      </w:tr>
      <w:tr w:rsidR="009E12A2" w:rsidRPr="00775EB7" w:rsidTr="00DE5211">
        <w:tc>
          <w:tcPr>
            <w:tcW w:w="9212" w:type="dxa"/>
            <w:gridSpan w:val="2"/>
          </w:tcPr>
          <w:p w:rsidR="009E12A2" w:rsidRPr="00775EB7" w:rsidRDefault="009E12A2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Ajánlott irodalom</w:t>
            </w:r>
            <w:r w:rsidRPr="00775EB7">
              <w:rPr>
                <w:rFonts w:ascii="Garamond" w:hAnsi="Garamond"/>
                <w:sz w:val="22"/>
                <w:szCs w:val="22"/>
              </w:rPr>
              <w:t>:</w:t>
            </w:r>
          </w:p>
          <w:p w:rsidR="009E12A2" w:rsidRPr="00775EB7" w:rsidRDefault="009E12A2" w:rsidP="00DE5211">
            <w:pPr>
              <w:rPr>
                <w:rFonts w:ascii="Garamond" w:hAnsi="Garamond"/>
                <w:sz w:val="22"/>
                <w:szCs w:val="22"/>
              </w:rPr>
            </w:pPr>
          </w:p>
          <w:p w:rsidR="009E12A2" w:rsidRPr="00775EB7" w:rsidRDefault="009E12A2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magyar nyelvű</w:t>
            </w:r>
          </w:p>
          <w:p w:rsidR="009E12A2" w:rsidRPr="00775EB7" w:rsidRDefault="009E12A2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Raisz Anikó: Az emberi jogok fejlődése az emberi jogok európai és amerikaközi bíróságának kölcsönhatásában, Novotni Kiadó, 2010.</w:t>
            </w:r>
          </w:p>
          <w:p w:rsidR="009E12A2" w:rsidRPr="00775EB7" w:rsidRDefault="009E12A2" w:rsidP="00DE5211">
            <w:pPr>
              <w:rPr>
                <w:rFonts w:ascii="Garamond" w:hAnsi="Garamond"/>
                <w:sz w:val="22"/>
                <w:szCs w:val="22"/>
              </w:rPr>
            </w:pPr>
          </w:p>
          <w:p w:rsidR="009E12A2" w:rsidRPr="00775EB7" w:rsidRDefault="009E12A2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idegen nyelvű</w:t>
            </w:r>
          </w:p>
          <w:p w:rsidR="009E12A2" w:rsidRPr="00775EB7" w:rsidRDefault="009E12A2" w:rsidP="00DE5211">
            <w:pPr>
              <w:shd w:val="clear" w:color="auto" w:fill="FFFFFF"/>
              <w:ind w:left="284"/>
              <w:rPr>
                <w:rFonts w:ascii="Garamond" w:eastAsia="Times New Roman" w:hAnsi="Garamond"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sz w:val="22"/>
                <w:szCs w:val="22"/>
              </w:rPr>
              <w:lastRenderedPageBreak/>
              <w:t>1. Buergenthal, Thomas – Shelton, Dinah – Stewart, David P.: International Human Rights in a Nutshell. West Group, St. Paul, MN, 2002.</w:t>
            </w:r>
          </w:p>
          <w:p w:rsidR="009E12A2" w:rsidRPr="00775EB7" w:rsidRDefault="009E12A2" w:rsidP="00DE5211">
            <w:pPr>
              <w:shd w:val="clear" w:color="auto" w:fill="FFFFFF"/>
              <w:ind w:left="284"/>
              <w:rPr>
                <w:rFonts w:ascii="Garamond" w:eastAsia="Times New Roman" w:hAnsi="Garamond"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sz w:val="22"/>
                <w:szCs w:val="22"/>
              </w:rPr>
              <w:t>2. 2. Janis, Mark – Kay, Richard – Bradley, Anthony: European Human Rights Law. Oxford University Press, Oxford, 2000.</w:t>
            </w:r>
          </w:p>
          <w:p w:rsidR="009E12A2" w:rsidRPr="00775EB7" w:rsidRDefault="009E12A2" w:rsidP="00DE5211">
            <w:pPr>
              <w:shd w:val="clear" w:color="auto" w:fill="FFFFFF"/>
              <w:ind w:left="284"/>
              <w:rPr>
                <w:rFonts w:ascii="Garamond" w:eastAsia="Times New Roman" w:hAnsi="Garamond"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sz w:val="22"/>
                <w:szCs w:val="22"/>
              </w:rPr>
              <w:t>3. Harris, David J. – Livingstone, Stephen (ed.): The Inter-American System of Human Rights. Calendron Press, Oxford, 1998.</w:t>
            </w:r>
          </w:p>
          <w:p w:rsidR="009E12A2" w:rsidRPr="00775EB7" w:rsidRDefault="009E12A2" w:rsidP="00DE5211">
            <w:pPr>
              <w:shd w:val="clear" w:color="auto" w:fill="FFFFFF"/>
              <w:ind w:left="284"/>
              <w:rPr>
                <w:rFonts w:ascii="Garamond" w:eastAsia="Times New Roman" w:hAnsi="Garamond"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sz w:val="22"/>
                <w:szCs w:val="22"/>
              </w:rPr>
              <w:t>4. Clayton, Richard – Tomlinson, Hugh: The Law of Human Rights. Oxford University Press, Oxford, 2000.</w:t>
            </w:r>
          </w:p>
          <w:p w:rsidR="009E12A2" w:rsidRPr="00775EB7" w:rsidRDefault="009E12A2" w:rsidP="00DE5211">
            <w:pPr>
              <w:shd w:val="clear" w:color="auto" w:fill="FFFFFF"/>
              <w:ind w:left="284"/>
              <w:rPr>
                <w:rFonts w:ascii="Garamond" w:eastAsia="Times New Roman" w:hAnsi="Garamond"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sz w:val="22"/>
                <w:szCs w:val="22"/>
              </w:rPr>
              <w:t>5. Frowein, Jochen A. – Peukert, Wolfgang: Europäische Menschenrechtskonvention. EMRK-Kommentar, Engel, Kehl, 3. kiadás, 2009.</w:t>
            </w:r>
          </w:p>
          <w:p w:rsidR="009E12A2" w:rsidRPr="00775EB7" w:rsidRDefault="009E12A2" w:rsidP="00DE5211">
            <w:pPr>
              <w:shd w:val="clear" w:color="auto" w:fill="FFFFFF"/>
              <w:ind w:left="284"/>
              <w:rPr>
                <w:rFonts w:ascii="Garamond" w:eastAsia="Times New Roman" w:hAnsi="Garamond"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sz w:val="22"/>
                <w:szCs w:val="22"/>
              </w:rPr>
              <w:t>6. Cohen-Jonathan, Gérard – Flauss, Jean-François (eds.): Le rayonnement international de la jurisprudence de la Cour européenne des droits de l’homme, Nemesis-Bruylant, Brüsszel, 2005.</w:t>
            </w:r>
          </w:p>
          <w:p w:rsidR="009E12A2" w:rsidRPr="00775EB7" w:rsidRDefault="009E12A2" w:rsidP="00DE5211">
            <w:pPr>
              <w:shd w:val="clear" w:color="auto" w:fill="FFFFFF"/>
              <w:ind w:left="284"/>
              <w:rPr>
                <w:rFonts w:ascii="Garamond" w:eastAsia="Times New Roman" w:hAnsi="Garamond"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sz w:val="22"/>
                <w:szCs w:val="22"/>
              </w:rPr>
              <w:t>7. Shelton, Dinah: Remedies in International Human Rights Law. Oxford, Oxford University Press, 2005.</w:t>
            </w:r>
          </w:p>
          <w:p w:rsidR="009E12A2" w:rsidRPr="00775EB7" w:rsidRDefault="009E12A2" w:rsidP="00DE5211">
            <w:pPr>
              <w:rPr>
                <w:rFonts w:ascii="Garamond" w:hAnsi="Garamond"/>
                <w:sz w:val="22"/>
                <w:szCs w:val="22"/>
              </w:rPr>
            </w:pPr>
          </w:p>
        </w:tc>
      </w:tr>
      <w:tr w:rsidR="009E12A2" w:rsidRPr="00775EB7" w:rsidTr="00DE5211">
        <w:tc>
          <w:tcPr>
            <w:tcW w:w="9212" w:type="dxa"/>
            <w:gridSpan w:val="2"/>
          </w:tcPr>
          <w:p w:rsidR="009E12A2" w:rsidRPr="00775EB7" w:rsidRDefault="009E12A2" w:rsidP="00DE5211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lastRenderedPageBreak/>
              <w:t>További szakirodalom:</w:t>
            </w:r>
          </w:p>
          <w:p w:rsidR="009E12A2" w:rsidRPr="00775EB7" w:rsidRDefault="009E12A2" w:rsidP="00DE5211">
            <w:pPr>
              <w:rPr>
                <w:rFonts w:ascii="Garamond" w:hAnsi="Garamond"/>
                <w:sz w:val="22"/>
                <w:szCs w:val="22"/>
              </w:rPr>
            </w:pPr>
          </w:p>
        </w:tc>
      </w:tr>
    </w:tbl>
    <w:p w:rsidR="00D32926" w:rsidRDefault="009E12A2">
      <w:bookmarkStart w:id="0" w:name="_GoBack"/>
      <w:bookmarkEnd w:id="0"/>
    </w:p>
    <w:sectPr w:rsidR="00D32926" w:rsidSect="00C35988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9C38BF"/>
    <w:multiLevelType w:val="hybridMultilevel"/>
    <w:tmpl w:val="FCEA691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2A2"/>
    <w:rsid w:val="00622808"/>
    <w:rsid w:val="009E12A2"/>
    <w:rsid w:val="00C35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56B8122"/>
  <w14:defaultImageDpi w14:val="32767"/>
  <w15:chartTrackingRefBased/>
  <w15:docId w15:val="{6DED2D74-5B87-FF4A-A071-9E154C3E2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4"/>
        <w:lang w:val="hu-H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l">
    <w:name w:val="Normal"/>
    <w:qFormat/>
    <w:rsid w:val="009E12A2"/>
    <w:rPr>
      <w:rFonts w:eastAsia="Calibri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372</Words>
  <Characters>2571</Characters>
  <Application>Microsoft Office Word</Application>
  <DocSecurity>0</DocSecurity>
  <Lines>21</Lines>
  <Paragraphs>5</Paragraphs>
  <ScaleCrop>false</ScaleCrop>
  <Company/>
  <LinksUpToDate>false</LinksUpToDate>
  <CharactersWithSpaces>2938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Office-felhasználó</dc:creator>
  <cp:keywords/>
  <dc:description/>
  <cp:lastModifiedBy>Microsoft Office-felhasználó</cp:lastModifiedBy>
  <cp:revision>1</cp:revision>
  <dcterms:created xsi:type="dcterms:W3CDTF">2024-09-05T09:29:00Z</dcterms:created>
  <dcterms:modified xsi:type="dcterms:W3CDTF">2024-09-05T09:30:00Z</dcterms:modified>
</cp:coreProperties>
</file>